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00"/>
        <w:gridCol w:w="9158"/>
      </w:tblGrid>
      <w:tr>
        <w:tc>
          <w:tcPr>
            <w:tcW w:type="dxa" w:w="20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Пользование земельным участком для эксплуатации МКД: разъяснение Минстроя России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bookmarkStart w:id="1" w:name="_GoBack"/>
      <w:bookmarkEnd w:id="1"/>
    </w:p>
    <w:p w14:paraId="06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7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Отмечается, что жилищным законодательством не предусмотрена возможность определения общего имущества нескольких МКД, в том числе не допускается определение одного земельного участка, входящего в состав общего имущества двух или более МКД.</w:t>
      </w:r>
    </w:p>
    <w:p w14:paraId="08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Следовательно, если на государственный кадастровый учет поставлен земельный участок, на котором расположены два или более МКД, такой земельный участок не входит в состав общего имущества собственников помещений в МКД и является собственностью публично-правового образования, на территории которого расположен указанный земельный участок.</w:t>
      </w:r>
    </w:p>
    <w:p w14:paraId="09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Если земельный участок под одним МКД не образован, тогда земля под МКД находится в собственности соответствующего публично-правового образования. В указанном случае распоряжение земельным участком, в том числе установка шлагбаумов, предназначенных для ограничения проезда и (или) прохода на земельный участок, является правом уполномоченных органов соответствующего публично-правового образования.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br/>
      </w:r>
    </w:p>
    <w:p w14:paraId="0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0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2026-08-13T07:53:54Z</dcterms:modified>
</cp:coreProperties>
</file>